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E4" w:rsidRPr="00EE3FE4" w:rsidRDefault="00EE3FE4" w:rsidP="00EE3FE4">
      <w:pPr>
        <w:pStyle w:val="Heading2"/>
        <w:rPr>
          <w:rFonts w:ascii="Trebuchet MS" w:hAnsi="Trebuchet MS"/>
          <w:color w:val="auto"/>
          <w:sz w:val="24"/>
          <w:szCs w:val="24"/>
        </w:rPr>
      </w:pPr>
      <w:r w:rsidRPr="00EE3FE4">
        <w:rPr>
          <w:rFonts w:ascii="Trebuchet MS" w:hAnsi="Trebuchet MS"/>
          <w:color w:val="auto"/>
          <w:sz w:val="24"/>
          <w:szCs w:val="24"/>
        </w:rPr>
        <w:t>Review 2013</w:t>
      </w:r>
      <w:r w:rsidR="00860C61">
        <w:rPr>
          <w:rFonts w:ascii="Trebuchet MS" w:hAnsi="Trebuchet MS"/>
          <w:color w:val="auto"/>
          <w:sz w:val="24"/>
          <w:szCs w:val="24"/>
        </w:rPr>
        <w:t xml:space="preserve">: </w:t>
      </w:r>
      <w:r w:rsidRPr="00EE3FE4">
        <w:rPr>
          <w:rFonts w:ascii="Trebuchet MS" w:hAnsi="Trebuchet MS"/>
          <w:color w:val="auto"/>
          <w:sz w:val="24"/>
          <w:szCs w:val="24"/>
        </w:rPr>
        <w:t>Alternative medicine (Herbal)</w:t>
      </w:r>
    </w:p>
    <w:p w:rsidR="00EE3FE4" w:rsidRPr="00EE3FE4" w:rsidRDefault="00EE3FE4" w:rsidP="00EE3FE4">
      <w:pPr>
        <w:pStyle w:val="Heading3"/>
        <w:rPr>
          <w:rFonts w:ascii="Trebuchet MS" w:eastAsia="Times New Roman" w:hAnsi="Trebuchet MS"/>
          <w:b/>
          <w:sz w:val="22"/>
          <w:szCs w:val="22"/>
          <w:lang w:eastAsia="en-GB"/>
        </w:rPr>
      </w:pPr>
      <w:proofErr w:type="spellStart"/>
      <w:r w:rsidRPr="00EE3FE4">
        <w:rPr>
          <w:rFonts w:ascii="Trebuchet MS" w:eastAsia="Times New Roman" w:hAnsi="Trebuchet MS"/>
          <w:b/>
          <w:sz w:val="22"/>
          <w:szCs w:val="22"/>
          <w:lang w:eastAsia="en-GB"/>
        </w:rPr>
        <w:t>Vitex</w:t>
      </w:r>
      <w:proofErr w:type="spellEnd"/>
      <w:r w:rsidRPr="00EE3FE4">
        <w:rPr>
          <w:rFonts w:ascii="Trebuchet MS" w:eastAsia="Times New Roman" w:hAnsi="Trebuchet MS"/>
          <w:b/>
          <w:sz w:val="22"/>
          <w:szCs w:val="22"/>
          <w:lang w:eastAsia="en-GB"/>
        </w:rPr>
        <w:t xml:space="preserve"> </w:t>
      </w:r>
      <w:proofErr w:type="spellStart"/>
      <w:r w:rsidRPr="00EE3FE4">
        <w:rPr>
          <w:rFonts w:ascii="Trebuchet MS" w:eastAsia="Times New Roman" w:hAnsi="Trebuchet MS"/>
          <w:b/>
          <w:sz w:val="22"/>
          <w:szCs w:val="22"/>
          <w:lang w:eastAsia="en-GB"/>
        </w:rPr>
        <w:t>agnus-castus</w:t>
      </w:r>
      <w:proofErr w:type="spellEnd"/>
      <w:r w:rsidRPr="00EE3FE4">
        <w:rPr>
          <w:rFonts w:ascii="Trebuchet MS" w:eastAsia="Times New Roman" w:hAnsi="Trebuchet MS"/>
          <w:b/>
          <w:sz w:val="22"/>
          <w:szCs w:val="22"/>
          <w:lang w:eastAsia="en-GB"/>
        </w:rPr>
        <w:t xml:space="preserve"> extracts for female reproductive disorders: a systematic review of clinical trials</w:t>
      </w:r>
    </w:p>
    <w:p w:rsidR="00EE3FE4" w:rsidRDefault="00EE3FE4" w:rsidP="00EE3FE4"/>
    <w:p w:rsidR="00EE3FE4" w:rsidRPr="00EE3FE4" w:rsidRDefault="00EE3FE4" w:rsidP="00EE3FE4">
      <w:pPr>
        <w:rPr>
          <w:b/>
          <w:bCs/>
          <w:sz w:val="20"/>
          <w:szCs w:val="20"/>
        </w:rPr>
      </w:pPr>
      <w:r w:rsidRPr="00EE3FE4">
        <w:rPr>
          <w:b/>
          <w:bCs/>
          <w:sz w:val="20"/>
          <w:szCs w:val="20"/>
        </w:rPr>
        <w:t xml:space="preserve">Link: </w:t>
      </w:r>
      <w:hyperlink r:id="rId6" w:history="1">
        <w:r w:rsidRPr="00EE3FE4">
          <w:rPr>
            <w:rFonts w:eastAsia="Times New Roman" w:cs="Calibri"/>
            <w:sz w:val="20"/>
            <w:szCs w:val="20"/>
            <w:u w:val="single"/>
            <w:lang w:eastAsia="en-GB"/>
          </w:rPr>
          <w:t xml:space="preserve">https://pubmed.ncbi.nlm.nih.gov/23136064/ </w:t>
        </w:r>
      </w:hyperlink>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Year: </w:t>
      </w:r>
      <w:r w:rsidRPr="00EE3FE4">
        <w:rPr>
          <w:rFonts w:eastAsia="Times New Roman" w:cs="Calibri"/>
          <w:sz w:val="20"/>
          <w:szCs w:val="20"/>
          <w:lang w:eastAsia="en-GB"/>
        </w:rPr>
        <w:t>2013</w:t>
      </w:r>
    </w:p>
    <w:p w:rsidR="00EE3FE4" w:rsidRPr="00EE3FE4" w:rsidRDefault="00EE3FE4" w:rsidP="00EE3FE4">
      <w:pPr>
        <w:rPr>
          <w:b/>
          <w:bCs/>
          <w:sz w:val="20"/>
          <w:szCs w:val="20"/>
        </w:rPr>
      </w:pPr>
    </w:p>
    <w:p w:rsidR="00EE3FE4" w:rsidRPr="00EE3FE4" w:rsidRDefault="00EE3FE4" w:rsidP="00EE3FE4">
      <w:pPr>
        <w:rPr>
          <w:b/>
          <w:bCs/>
          <w:sz w:val="20"/>
          <w:szCs w:val="20"/>
        </w:rPr>
      </w:pPr>
      <w:proofErr w:type="spellStart"/>
      <w:r w:rsidRPr="00EE3FE4">
        <w:rPr>
          <w:b/>
          <w:bCs/>
          <w:sz w:val="20"/>
          <w:szCs w:val="20"/>
        </w:rPr>
        <w:t>Pubmed</w:t>
      </w:r>
      <w:proofErr w:type="spellEnd"/>
      <w:r w:rsidRPr="00EE3FE4">
        <w:rPr>
          <w:b/>
          <w:bCs/>
          <w:sz w:val="20"/>
          <w:szCs w:val="20"/>
        </w:rPr>
        <w:t xml:space="preserve"> classification</w:t>
      </w:r>
      <w:r w:rsidR="00CC12D7">
        <w:rPr>
          <w:b/>
          <w:bCs/>
          <w:sz w:val="20"/>
          <w:szCs w:val="20"/>
        </w:rPr>
        <w:t>:</w:t>
      </w:r>
      <w:r w:rsidRPr="00EE3FE4">
        <w:rPr>
          <w:b/>
          <w:bCs/>
          <w:sz w:val="20"/>
          <w:szCs w:val="20"/>
        </w:rPr>
        <w:t xml:space="preserve"> </w:t>
      </w:r>
      <w:r w:rsidR="00CC12D7">
        <w:rPr>
          <w:b/>
          <w:bCs/>
          <w:sz w:val="20"/>
          <w:szCs w:val="20"/>
        </w:rPr>
        <w:t xml:space="preserve"> </w:t>
      </w:r>
      <w:r w:rsidRPr="00EE3FE4">
        <w:rPr>
          <w:rFonts w:eastAsia="Times New Roman" w:cs="Calibri"/>
          <w:sz w:val="20"/>
          <w:szCs w:val="20"/>
          <w:lang w:eastAsia="en-GB"/>
        </w:rPr>
        <w:t>Review.</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Further review </w:t>
      </w:r>
      <w:r w:rsidR="00CC12D7">
        <w:rPr>
          <w:b/>
          <w:bCs/>
          <w:sz w:val="20"/>
          <w:szCs w:val="20"/>
        </w:rPr>
        <w:t>information</w:t>
      </w:r>
      <w:r w:rsidRPr="00EE3FE4">
        <w:rPr>
          <w:b/>
          <w:bCs/>
          <w:sz w:val="20"/>
          <w:szCs w:val="20"/>
        </w:rPr>
        <w:t>:</w:t>
      </w:r>
      <w:r w:rsidR="00CC12D7">
        <w:rPr>
          <w:b/>
          <w:bCs/>
          <w:sz w:val="20"/>
          <w:szCs w:val="20"/>
        </w:rPr>
        <w:t xml:space="preserve"> </w:t>
      </w:r>
      <w:r w:rsidRPr="00EE3FE4">
        <w:rPr>
          <w:b/>
          <w:bCs/>
          <w:sz w:val="20"/>
          <w:szCs w:val="20"/>
        </w:rPr>
        <w:t xml:space="preserve"> </w:t>
      </w:r>
      <w:r w:rsidRPr="00EE3FE4">
        <w:rPr>
          <w:rFonts w:eastAsia="Times New Roman" w:cs="Calibri"/>
          <w:sz w:val="20"/>
          <w:szCs w:val="20"/>
          <w:lang w:eastAsia="en-GB"/>
        </w:rPr>
        <w:t>Systematic review.</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Objective: </w:t>
      </w:r>
      <w:r w:rsidR="00CC12D7">
        <w:rPr>
          <w:b/>
          <w:bCs/>
          <w:sz w:val="20"/>
          <w:szCs w:val="20"/>
        </w:rPr>
        <w:t xml:space="preserve"> </w:t>
      </w:r>
      <w:r w:rsidRPr="00EE3FE4">
        <w:rPr>
          <w:rFonts w:eastAsia="Times New Roman" w:cs="Calibri"/>
          <w:sz w:val="20"/>
          <w:szCs w:val="20"/>
          <w:lang w:eastAsia="en-GB"/>
        </w:rPr>
        <w:t xml:space="preserve">The objective of this systematic review was to evaluate the evidence for the efficacy and safety of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extracts from randomised, controlled trials investigating women's health.</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Number of studies and types of papers:</w:t>
      </w:r>
      <w:r w:rsidR="00CC12D7">
        <w:rPr>
          <w:b/>
          <w:bCs/>
          <w:sz w:val="20"/>
          <w:szCs w:val="20"/>
        </w:rPr>
        <w:t xml:space="preserve"> </w:t>
      </w:r>
      <w:r w:rsidRPr="00EE3FE4">
        <w:rPr>
          <w:b/>
          <w:bCs/>
          <w:sz w:val="20"/>
          <w:szCs w:val="20"/>
        </w:rPr>
        <w:t xml:space="preserve"> </w:t>
      </w:r>
      <w:r w:rsidRPr="00EE3FE4">
        <w:rPr>
          <w:rFonts w:eastAsia="Times New Roman" w:cs="Calibri"/>
          <w:sz w:val="20"/>
          <w:szCs w:val="20"/>
          <w:lang w:eastAsia="en-GB"/>
        </w:rPr>
        <w:t xml:space="preserve">13 randomised, controlled trials were identified and 12 are included in this review, of which 8 investigated premenstrual syndrome, 2 premenstrual </w:t>
      </w:r>
      <w:proofErr w:type="spellStart"/>
      <w:r w:rsidRPr="00EE3FE4">
        <w:rPr>
          <w:rFonts w:eastAsia="Times New Roman" w:cs="Calibri"/>
          <w:sz w:val="20"/>
          <w:szCs w:val="20"/>
          <w:lang w:eastAsia="en-GB"/>
        </w:rPr>
        <w:t>dysphoric</w:t>
      </w:r>
      <w:proofErr w:type="spellEnd"/>
      <w:r w:rsidRPr="00EE3FE4">
        <w:rPr>
          <w:rFonts w:eastAsia="Times New Roman" w:cs="Calibri"/>
          <w:sz w:val="20"/>
          <w:szCs w:val="20"/>
          <w:lang w:eastAsia="en-GB"/>
        </w:rPr>
        <w:t xml:space="preserve"> disorder, and 2 latent </w:t>
      </w:r>
      <w:proofErr w:type="spellStart"/>
      <w:r w:rsidRPr="00EE3FE4">
        <w:rPr>
          <w:rFonts w:eastAsia="Times New Roman" w:cs="Calibri"/>
          <w:sz w:val="20"/>
          <w:szCs w:val="20"/>
          <w:lang w:eastAsia="en-GB"/>
        </w:rPr>
        <w:t>hyperprolactinaemia</w:t>
      </w:r>
      <w:proofErr w:type="spellEnd"/>
      <w:r w:rsidRPr="00EE3FE4">
        <w:rPr>
          <w:rFonts w:eastAsia="Times New Roman" w:cs="Calibri"/>
          <w:sz w:val="20"/>
          <w:szCs w:val="20"/>
          <w:lang w:eastAsia="en-GB"/>
        </w:rPr>
        <w:t>.</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Databases searched/inclusion criteria:</w:t>
      </w:r>
      <w:r w:rsidR="00CC12D7">
        <w:rPr>
          <w:b/>
          <w:bCs/>
          <w:sz w:val="20"/>
          <w:szCs w:val="20"/>
        </w:rPr>
        <w:t xml:space="preserve"> </w:t>
      </w:r>
      <w:r w:rsidRPr="00EE3FE4">
        <w:rPr>
          <w:b/>
          <w:bCs/>
          <w:sz w:val="20"/>
          <w:szCs w:val="20"/>
        </w:rPr>
        <w:t xml:space="preserve"> </w:t>
      </w:r>
      <w:r w:rsidRPr="00EE3FE4">
        <w:rPr>
          <w:rFonts w:eastAsia="Times New Roman" w:cs="Calibri"/>
          <w:sz w:val="20"/>
          <w:szCs w:val="20"/>
          <w:lang w:eastAsia="en-GB"/>
        </w:rPr>
        <w:t xml:space="preserve">Eight databases were searched using Latin and common names for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and </w:t>
      </w:r>
      <w:proofErr w:type="spellStart"/>
      <w:r w:rsidRPr="00EE3FE4">
        <w:rPr>
          <w:rFonts w:eastAsia="Times New Roman" w:cs="Calibri"/>
          <w:sz w:val="20"/>
          <w:szCs w:val="20"/>
          <w:lang w:eastAsia="en-GB"/>
        </w:rPr>
        <w:t>phytotherapeutic</w:t>
      </w:r>
      <w:proofErr w:type="spellEnd"/>
      <w:r w:rsidRPr="00EE3FE4">
        <w:rPr>
          <w:rFonts w:eastAsia="Times New Roman" w:cs="Calibri"/>
          <w:sz w:val="20"/>
          <w:szCs w:val="20"/>
          <w:lang w:eastAsia="en-GB"/>
        </w:rPr>
        <w:t xml:space="preserve"> preparations of the herb as a sole agent, together with filters for randomised, controlled trials or clinical trials. </w:t>
      </w:r>
    </w:p>
    <w:p w:rsidR="00EE3FE4" w:rsidRPr="00EE3FE4" w:rsidRDefault="00EE3FE4" w:rsidP="00EE3FE4">
      <w:pPr>
        <w:rPr>
          <w:b/>
          <w:bCs/>
          <w:sz w:val="20"/>
          <w:szCs w:val="20"/>
        </w:rPr>
      </w:pPr>
    </w:p>
    <w:p w:rsidR="00EE3FE4" w:rsidRPr="00CC12D7" w:rsidRDefault="00EE3FE4" w:rsidP="00EE3FE4">
      <w:pPr>
        <w:rPr>
          <w:b/>
          <w:bCs/>
          <w:sz w:val="20"/>
          <w:szCs w:val="20"/>
        </w:rPr>
      </w:pPr>
      <w:r w:rsidRPr="00EE3FE4">
        <w:rPr>
          <w:b/>
          <w:bCs/>
          <w:sz w:val="20"/>
          <w:szCs w:val="20"/>
        </w:rPr>
        <w:t>Methods</w:t>
      </w:r>
      <w:r w:rsidR="00CC12D7">
        <w:rPr>
          <w:b/>
          <w:bCs/>
          <w:sz w:val="20"/>
          <w:szCs w:val="20"/>
        </w:rPr>
        <w:t xml:space="preserve"> for assessing research quality:  </w:t>
      </w:r>
      <w:r w:rsidRPr="00EE3FE4">
        <w:rPr>
          <w:rFonts w:eastAsia="Times New Roman" w:cs="Calibri"/>
          <w:sz w:val="20"/>
          <w:szCs w:val="20"/>
          <w:lang w:eastAsia="en-GB"/>
        </w:rPr>
        <w:t xml:space="preserve">Methodological quality was assessed according to the Cochrane risk of bias and </w:t>
      </w:r>
      <w:proofErr w:type="spellStart"/>
      <w:r w:rsidRPr="00EE3FE4">
        <w:rPr>
          <w:rFonts w:eastAsia="Times New Roman" w:cs="Calibri"/>
          <w:sz w:val="20"/>
          <w:szCs w:val="20"/>
          <w:lang w:eastAsia="en-GB"/>
        </w:rPr>
        <w:t>Jadad</w:t>
      </w:r>
      <w:proofErr w:type="spellEnd"/>
      <w:r w:rsidRPr="00EE3FE4">
        <w:rPr>
          <w:rFonts w:eastAsia="Times New Roman" w:cs="Calibri"/>
          <w:sz w:val="20"/>
          <w:szCs w:val="20"/>
          <w:lang w:eastAsia="en-GB"/>
        </w:rPr>
        <w:t xml:space="preserve"> scales, as well as the proposed elaboration of CONSORT for reporting trials on herbal interventions.</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Research quality: </w:t>
      </w:r>
      <w:r w:rsidR="00CC12D7">
        <w:rPr>
          <w:b/>
          <w:bCs/>
          <w:sz w:val="20"/>
          <w:szCs w:val="20"/>
        </w:rPr>
        <w:t xml:space="preserve"> </w:t>
      </w:r>
      <w:r w:rsidRPr="00EE3FE4">
        <w:rPr>
          <w:rFonts w:eastAsia="Times New Roman" w:cs="Calibri"/>
          <w:sz w:val="20"/>
          <w:szCs w:val="20"/>
          <w:lang w:eastAsia="en-GB"/>
        </w:rPr>
        <w:t>The methodological quality of the included studies varied, but was generally moderate-to-high. Limitations include small sample sizes in some studies, heterogeneity of conditions being treated, and a range of reference treatments.</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Efficacy outcomes: </w:t>
      </w:r>
      <w:r w:rsidR="00CC12D7">
        <w:rPr>
          <w:b/>
          <w:bCs/>
          <w:sz w:val="20"/>
          <w:szCs w:val="20"/>
        </w:rPr>
        <w:t xml:space="preserve"> </w:t>
      </w:r>
      <w:r w:rsidRPr="00EE3FE4">
        <w:rPr>
          <w:rFonts w:eastAsia="Times New Roman" w:cs="Calibri"/>
          <w:sz w:val="20"/>
          <w:szCs w:val="20"/>
          <w:lang w:eastAsia="en-GB"/>
        </w:rPr>
        <w:t xml:space="preserve">For premenstrual syndrome, seven of eight trials found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extracts to be superior to placebo (5 of 6 studies), pyridoxine (1), and magnesium oxide (1). In premenstrual </w:t>
      </w:r>
      <w:proofErr w:type="spellStart"/>
      <w:r w:rsidRPr="00EE3FE4">
        <w:rPr>
          <w:rFonts w:eastAsia="Times New Roman" w:cs="Calibri"/>
          <w:sz w:val="20"/>
          <w:szCs w:val="20"/>
          <w:lang w:eastAsia="en-GB"/>
        </w:rPr>
        <w:t>dysphoric</w:t>
      </w:r>
      <w:proofErr w:type="spellEnd"/>
      <w:r w:rsidRPr="00EE3FE4">
        <w:rPr>
          <w:rFonts w:eastAsia="Times New Roman" w:cs="Calibri"/>
          <w:sz w:val="20"/>
          <w:szCs w:val="20"/>
          <w:lang w:eastAsia="en-GB"/>
        </w:rPr>
        <w:t xml:space="preserve"> disorder, one study reported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to be equivalent to </w:t>
      </w:r>
      <w:proofErr w:type="spellStart"/>
      <w:r w:rsidRPr="00EE3FE4">
        <w:rPr>
          <w:rFonts w:eastAsia="Times New Roman" w:cs="Calibri"/>
          <w:sz w:val="20"/>
          <w:szCs w:val="20"/>
          <w:lang w:eastAsia="en-GB"/>
        </w:rPr>
        <w:t>fluoxetine</w:t>
      </w:r>
      <w:proofErr w:type="spellEnd"/>
      <w:r w:rsidRPr="00EE3FE4">
        <w:rPr>
          <w:rFonts w:eastAsia="Times New Roman" w:cs="Calibri"/>
          <w:sz w:val="20"/>
          <w:szCs w:val="20"/>
          <w:lang w:eastAsia="en-GB"/>
        </w:rPr>
        <w:t xml:space="preserve">, while in the other, </w:t>
      </w:r>
      <w:proofErr w:type="spellStart"/>
      <w:r w:rsidRPr="00EE3FE4">
        <w:rPr>
          <w:rFonts w:eastAsia="Times New Roman" w:cs="Calibri"/>
          <w:sz w:val="20"/>
          <w:szCs w:val="20"/>
          <w:lang w:eastAsia="en-GB"/>
        </w:rPr>
        <w:t>fluoxetine</w:t>
      </w:r>
      <w:proofErr w:type="spellEnd"/>
      <w:r w:rsidRPr="00EE3FE4">
        <w:rPr>
          <w:rFonts w:eastAsia="Times New Roman" w:cs="Calibri"/>
          <w:sz w:val="20"/>
          <w:szCs w:val="20"/>
          <w:lang w:eastAsia="en-GB"/>
        </w:rPr>
        <w:t xml:space="preserve"> outperformed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w:t>
      </w:r>
    </w:p>
    <w:p w:rsidR="00EE3FE4" w:rsidRPr="00EE3FE4" w:rsidRDefault="00EE3FE4" w:rsidP="00EE3FE4">
      <w:pPr>
        <w:rPr>
          <w:rFonts w:eastAsia="Times New Roman" w:cs="Calibri"/>
          <w:sz w:val="20"/>
          <w:szCs w:val="20"/>
          <w:lang w:eastAsia="en-GB"/>
        </w:rPr>
      </w:pPr>
    </w:p>
    <w:p w:rsidR="00EE3FE4" w:rsidRPr="00EE3FE4" w:rsidRDefault="00EE3FE4" w:rsidP="00EE3FE4">
      <w:pPr>
        <w:rPr>
          <w:rFonts w:eastAsia="Times New Roman" w:cs="Calibri"/>
          <w:sz w:val="20"/>
          <w:szCs w:val="20"/>
          <w:lang w:eastAsia="en-GB"/>
        </w:rPr>
      </w:pPr>
      <w:r w:rsidRPr="00EE3FE4">
        <w:rPr>
          <w:rFonts w:eastAsia="Times New Roman" w:cs="Calibri"/>
          <w:sz w:val="20"/>
          <w:szCs w:val="20"/>
          <w:lang w:eastAsia="en-GB"/>
        </w:rPr>
        <w:t xml:space="preserve">In latent </w:t>
      </w:r>
      <w:proofErr w:type="spellStart"/>
      <w:r w:rsidRPr="00EE3FE4">
        <w:rPr>
          <w:rFonts w:eastAsia="Times New Roman" w:cs="Calibri"/>
          <w:sz w:val="20"/>
          <w:szCs w:val="20"/>
          <w:lang w:eastAsia="en-GB"/>
        </w:rPr>
        <w:t>hyperprolactinaemia</w:t>
      </w:r>
      <w:proofErr w:type="spellEnd"/>
      <w:r w:rsidRPr="00EE3FE4">
        <w:rPr>
          <w:rFonts w:eastAsia="Times New Roman" w:cs="Calibri"/>
          <w:sz w:val="20"/>
          <w:szCs w:val="20"/>
          <w:lang w:eastAsia="en-GB"/>
        </w:rPr>
        <w:t xml:space="preserve">, one trial reported it to be superior to placebo for reducing TRH-stimulated </w:t>
      </w:r>
      <w:proofErr w:type="spellStart"/>
      <w:r w:rsidRPr="00EE3FE4">
        <w:rPr>
          <w:rFonts w:eastAsia="Times New Roman" w:cs="Calibri"/>
          <w:sz w:val="20"/>
          <w:szCs w:val="20"/>
          <w:lang w:eastAsia="en-GB"/>
        </w:rPr>
        <w:t>prolactin</w:t>
      </w:r>
      <w:proofErr w:type="spellEnd"/>
      <w:r w:rsidRPr="00EE3FE4">
        <w:rPr>
          <w:rFonts w:eastAsia="Times New Roman" w:cs="Calibri"/>
          <w:sz w:val="20"/>
          <w:szCs w:val="20"/>
          <w:lang w:eastAsia="en-GB"/>
        </w:rPr>
        <w:t xml:space="preserve"> secretion, normalising a shortened </w:t>
      </w:r>
      <w:proofErr w:type="spellStart"/>
      <w:r w:rsidRPr="00EE3FE4">
        <w:rPr>
          <w:rFonts w:eastAsia="Times New Roman" w:cs="Calibri"/>
          <w:sz w:val="20"/>
          <w:szCs w:val="20"/>
          <w:lang w:eastAsia="en-GB"/>
        </w:rPr>
        <w:t>luteal</w:t>
      </w:r>
      <w:proofErr w:type="spellEnd"/>
      <w:r w:rsidRPr="00EE3FE4">
        <w:rPr>
          <w:rFonts w:eastAsia="Times New Roman" w:cs="Calibri"/>
          <w:sz w:val="20"/>
          <w:szCs w:val="20"/>
          <w:lang w:eastAsia="en-GB"/>
        </w:rPr>
        <w:t xml:space="preserve"> phase, increasing mid-</w:t>
      </w:r>
      <w:proofErr w:type="spellStart"/>
      <w:r w:rsidRPr="00EE3FE4">
        <w:rPr>
          <w:rFonts w:eastAsia="Times New Roman" w:cs="Calibri"/>
          <w:sz w:val="20"/>
          <w:szCs w:val="20"/>
          <w:lang w:eastAsia="en-GB"/>
        </w:rPr>
        <w:t>luteal</w:t>
      </w:r>
      <w:proofErr w:type="spellEnd"/>
      <w:r w:rsidRPr="00EE3FE4">
        <w:rPr>
          <w:rFonts w:eastAsia="Times New Roman" w:cs="Calibri"/>
          <w:sz w:val="20"/>
          <w:szCs w:val="20"/>
          <w:lang w:eastAsia="en-GB"/>
        </w:rPr>
        <w:t xml:space="preserve"> progesterone and 17β-oestradiol levels, while the other found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comparable to </w:t>
      </w:r>
      <w:proofErr w:type="spellStart"/>
      <w:r w:rsidRPr="00EE3FE4">
        <w:rPr>
          <w:rFonts w:eastAsia="Times New Roman" w:cs="Calibri"/>
          <w:sz w:val="20"/>
          <w:szCs w:val="20"/>
          <w:lang w:eastAsia="en-GB"/>
        </w:rPr>
        <w:t>bromocriptine</w:t>
      </w:r>
      <w:proofErr w:type="spellEnd"/>
      <w:r w:rsidRPr="00EE3FE4">
        <w:rPr>
          <w:rFonts w:eastAsia="Times New Roman" w:cs="Calibri"/>
          <w:sz w:val="20"/>
          <w:szCs w:val="20"/>
          <w:lang w:eastAsia="en-GB"/>
        </w:rPr>
        <w:t xml:space="preserve"> for reducing serum </w:t>
      </w:r>
      <w:proofErr w:type="spellStart"/>
      <w:r w:rsidRPr="00EE3FE4">
        <w:rPr>
          <w:rFonts w:eastAsia="Times New Roman" w:cs="Calibri"/>
          <w:sz w:val="20"/>
          <w:szCs w:val="20"/>
          <w:lang w:eastAsia="en-GB"/>
        </w:rPr>
        <w:t>prolactin</w:t>
      </w:r>
      <w:proofErr w:type="spellEnd"/>
      <w:r w:rsidRPr="00EE3FE4">
        <w:rPr>
          <w:rFonts w:eastAsia="Times New Roman" w:cs="Calibri"/>
          <w:sz w:val="20"/>
          <w:szCs w:val="20"/>
          <w:lang w:eastAsia="en-GB"/>
        </w:rPr>
        <w:t xml:space="preserve"> levels and ameliorating cyclic </w:t>
      </w:r>
      <w:proofErr w:type="spellStart"/>
      <w:r w:rsidRPr="00EE3FE4">
        <w:rPr>
          <w:rFonts w:eastAsia="Times New Roman" w:cs="Calibri"/>
          <w:sz w:val="20"/>
          <w:szCs w:val="20"/>
          <w:lang w:eastAsia="en-GB"/>
        </w:rPr>
        <w:t>mastalgia</w:t>
      </w:r>
      <w:proofErr w:type="spellEnd"/>
      <w:r w:rsidRPr="00EE3FE4">
        <w:rPr>
          <w:rFonts w:eastAsia="Times New Roman" w:cs="Calibri"/>
          <w:sz w:val="20"/>
          <w:szCs w:val="20"/>
          <w:lang w:eastAsia="en-GB"/>
        </w:rPr>
        <w:t>. </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Side-effects assessment: </w:t>
      </w:r>
      <w:r w:rsidR="00F248E7">
        <w:rPr>
          <w:b/>
          <w:bCs/>
          <w:sz w:val="20"/>
          <w:szCs w:val="20"/>
        </w:rPr>
        <w:t xml:space="preserve"> </w:t>
      </w:r>
      <w:r w:rsidRPr="00EE3FE4">
        <w:rPr>
          <w:rFonts w:eastAsia="Times New Roman" w:cs="Calibri"/>
          <w:sz w:val="20"/>
          <w:szCs w:val="20"/>
          <w:lang w:eastAsia="en-GB"/>
        </w:rPr>
        <w:t xml:space="preserve">Adverse events with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were mild and generally infrequent. </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Conclusion:</w:t>
      </w:r>
      <w:r w:rsidR="00F248E7">
        <w:rPr>
          <w:b/>
          <w:bCs/>
          <w:sz w:val="20"/>
          <w:szCs w:val="20"/>
        </w:rPr>
        <w:t xml:space="preserve"> </w:t>
      </w:r>
      <w:r w:rsidRPr="00EE3FE4">
        <w:rPr>
          <w:b/>
          <w:bCs/>
          <w:sz w:val="20"/>
          <w:szCs w:val="20"/>
        </w:rPr>
        <w:t xml:space="preserve"> </w:t>
      </w:r>
      <w:r w:rsidRPr="00EE3FE4">
        <w:rPr>
          <w:rFonts w:eastAsia="Times New Roman" w:cs="Calibri"/>
          <w:sz w:val="20"/>
          <w:szCs w:val="20"/>
          <w:lang w:eastAsia="en-GB"/>
        </w:rPr>
        <w:t xml:space="preserve">Despite some methodological limitations, the results from randomised, controlled trials to date suggest benefits for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extracts in the treatment of premenstrual syndrome, premenstrual </w:t>
      </w:r>
      <w:proofErr w:type="spellStart"/>
      <w:r w:rsidRPr="00EE3FE4">
        <w:rPr>
          <w:rFonts w:eastAsia="Times New Roman" w:cs="Calibri"/>
          <w:sz w:val="20"/>
          <w:szCs w:val="20"/>
          <w:lang w:eastAsia="en-GB"/>
        </w:rPr>
        <w:t>dysphoric</w:t>
      </w:r>
      <w:proofErr w:type="spellEnd"/>
      <w:r w:rsidRPr="00EE3FE4">
        <w:rPr>
          <w:rFonts w:eastAsia="Times New Roman" w:cs="Calibri"/>
          <w:sz w:val="20"/>
          <w:szCs w:val="20"/>
          <w:lang w:eastAsia="en-GB"/>
        </w:rPr>
        <w:t xml:space="preserve"> disorder and latent </w:t>
      </w:r>
      <w:proofErr w:type="spellStart"/>
      <w:r w:rsidRPr="00EE3FE4">
        <w:rPr>
          <w:rFonts w:eastAsia="Times New Roman" w:cs="Calibri"/>
          <w:sz w:val="20"/>
          <w:szCs w:val="20"/>
          <w:lang w:eastAsia="en-GB"/>
        </w:rPr>
        <w:t>hyperprolactinaemia</w:t>
      </w:r>
      <w:proofErr w:type="spellEnd"/>
      <w:r w:rsidRPr="00EE3FE4">
        <w:rPr>
          <w:rFonts w:eastAsia="Times New Roman" w:cs="Calibri"/>
          <w:sz w:val="20"/>
          <w:szCs w:val="20"/>
          <w:lang w:eastAsia="en-GB"/>
        </w:rPr>
        <w:t>.</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Considerations for future: </w:t>
      </w:r>
      <w:r w:rsidR="00F248E7">
        <w:rPr>
          <w:b/>
          <w:bCs/>
          <w:sz w:val="20"/>
          <w:szCs w:val="20"/>
        </w:rPr>
        <w:t xml:space="preserve"> </w:t>
      </w:r>
      <w:r w:rsidRPr="00EE3FE4">
        <w:rPr>
          <w:rFonts w:eastAsia="Times New Roman" w:cs="Calibri"/>
          <w:sz w:val="20"/>
          <w:szCs w:val="20"/>
          <w:lang w:eastAsia="en-GB"/>
        </w:rPr>
        <w:t xml:space="preserve">Further research is </w:t>
      </w:r>
      <w:proofErr w:type="gramStart"/>
      <w:r w:rsidRPr="00EE3FE4">
        <w:rPr>
          <w:rFonts w:eastAsia="Times New Roman" w:cs="Calibri"/>
          <w:sz w:val="20"/>
          <w:szCs w:val="20"/>
          <w:lang w:eastAsia="en-GB"/>
        </w:rPr>
        <w:t>recommended,</w:t>
      </w:r>
      <w:proofErr w:type="gramEnd"/>
      <w:r w:rsidRPr="00EE3FE4">
        <w:rPr>
          <w:rFonts w:eastAsia="Times New Roman" w:cs="Calibri"/>
          <w:sz w:val="20"/>
          <w:szCs w:val="20"/>
          <w:lang w:eastAsia="en-GB"/>
        </w:rPr>
        <w:t xml:space="preserve"> and greater transparency in reporting for future trials.</w:t>
      </w:r>
    </w:p>
    <w:p w:rsidR="00EE3FE4" w:rsidRPr="00EE3FE4" w:rsidRDefault="00EE3FE4" w:rsidP="00EE3FE4">
      <w:pPr>
        <w:pStyle w:val="Heading2"/>
        <w:rPr>
          <w:sz w:val="20"/>
          <w:szCs w:val="20"/>
        </w:rPr>
      </w:pPr>
    </w:p>
    <w:p w:rsidR="00EE3FE4" w:rsidRPr="00403E50" w:rsidRDefault="00EE3FE4" w:rsidP="00EE3FE4"/>
    <w:p w:rsidR="00EE3FE4" w:rsidRDefault="00EE3FE4">
      <w:pPr>
        <w:spacing w:after="160" w:line="259" w:lineRule="auto"/>
        <w:rPr>
          <w:rFonts w:eastAsia="Times New Roman" w:cstheme="majorBidi"/>
          <w:b/>
          <w:color w:val="1F4D78" w:themeColor="accent1" w:themeShade="7F"/>
          <w:sz w:val="24"/>
          <w:szCs w:val="24"/>
          <w:lang w:eastAsia="en-GB"/>
        </w:rPr>
      </w:pPr>
      <w:r>
        <w:rPr>
          <w:rFonts w:eastAsia="Times New Roman"/>
          <w:b/>
          <w:lang w:eastAsia="en-GB"/>
        </w:rPr>
        <w:br w:type="page"/>
      </w:r>
    </w:p>
    <w:p w:rsidR="00EE3FE4" w:rsidRPr="00EE3FE4" w:rsidRDefault="00EE3FE4" w:rsidP="00EE3FE4">
      <w:pPr>
        <w:pStyle w:val="Heading3"/>
        <w:rPr>
          <w:rFonts w:ascii="Trebuchet MS" w:eastAsia="Times New Roman" w:hAnsi="Trebuchet MS"/>
          <w:b/>
          <w:color w:val="auto"/>
          <w:sz w:val="28"/>
          <w:szCs w:val="28"/>
          <w:lang w:eastAsia="en-GB"/>
        </w:rPr>
      </w:pPr>
      <w:r w:rsidRPr="00EE3FE4">
        <w:rPr>
          <w:rFonts w:ascii="Trebuchet MS" w:hAnsi="Trebuchet MS"/>
          <w:b/>
        </w:rPr>
        <w:lastRenderedPageBreak/>
        <w:t>Review</w:t>
      </w:r>
      <w:r w:rsidRPr="00EE3FE4">
        <w:rPr>
          <w:rFonts w:ascii="Trebuchet MS" w:eastAsia="Times New Roman" w:hAnsi="Trebuchet MS"/>
          <w:b/>
          <w:lang w:eastAsia="en-GB"/>
        </w:rPr>
        <w:t xml:space="preserve"> 2011: Alternative Medicine </w:t>
      </w:r>
      <w:r w:rsidRPr="00EE3FE4">
        <w:rPr>
          <w:rFonts w:ascii="Trebuchet MS" w:hAnsi="Trebuchet MS"/>
          <w:b/>
        </w:rPr>
        <w:t>(</w:t>
      </w:r>
      <w:r w:rsidR="00F248E7">
        <w:rPr>
          <w:rFonts w:ascii="Trebuchet MS" w:hAnsi="Trebuchet MS"/>
          <w:b/>
          <w:color w:val="auto"/>
        </w:rPr>
        <w:t>Herbal</w:t>
      </w:r>
      <w:r w:rsidRPr="00EE3FE4">
        <w:rPr>
          <w:rFonts w:ascii="Trebuchet MS" w:hAnsi="Trebuchet MS"/>
          <w:b/>
          <w:color w:val="auto"/>
          <w:sz w:val="28"/>
          <w:szCs w:val="28"/>
        </w:rPr>
        <w:t>)</w:t>
      </w:r>
    </w:p>
    <w:p w:rsidR="00EE3FE4" w:rsidRPr="00B13030" w:rsidRDefault="00EE3FE4" w:rsidP="00EE3FE4">
      <w:pPr>
        <w:pStyle w:val="Heading3"/>
        <w:rPr>
          <w:rFonts w:ascii="Trebuchet MS" w:eastAsia="Times New Roman" w:hAnsi="Trebuchet MS"/>
          <w:b/>
          <w:sz w:val="22"/>
          <w:szCs w:val="22"/>
          <w:lang w:eastAsia="en-GB"/>
        </w:rPr>
      </w:pPr>
      <w:r w:rsidRPr="00B13030">
        <w:rPr>
          <w:rFonts w:ascii="Trebuchet MS" w:eastAsia="Times New Roman" w:hAnsi="Trebuchet MS"/>
          <w:b/>
          <w:sz w:val="22"/>
          <w:szCs w:val="22"/>
          <w:lang w:eastAsia="en-GB"/>
        </w:rPr>
        <w:t>Herbal treatments for alleviating premenstrual symptoms: a systematic review</w:t>
      </w:r>
    </w:p>
    <w:p w:rsidR="00EE3FE4" w:rsidRDefault="00EE3FE4" w:rsidP="00EE3FE4">
      <w:pPr>
        <w:rPr>
          <w:lang w:eastAsia="en-GB"/>
        </w:rPr>
      </w:pPr>
    </w:p>
    <w:p w:rsidR="00EE3FE4" w:rsidRPr="00EE3FE4" w:rsidRDefault="00EE3FE4" w:rsidP="00EE3FE4">
      <w:pPr>
        <w:rPr>
          <w:b/>
          <w:bCs/>
          <w:sz w:val="20"/>
          <w:szCs w:val="20"/>
        </w:rPr>
      </w:pPr>
      <w:r w:rsidRPr="00EE3FE4">
        <w:rPr>
          <w:b/>
          <w:bCs/>
          <w:sz w:val="20"/>
          <w:szCs w:val="20"/>
        </w:rPr>
        <w:t>Link:</w:t>
      </w:r>
      <w:r w:rsidR="00F248E7">
        <w:rPr>
          <w:b/>
          <w:bCs/>
          <w:sz w:val="20"/>
          <w:szCs w:val="20"/>
        </w:rPr>
        <w:t xml:space="preserve"> </w:t>
      </w:r>
      <w:r w:rsidRPr="00EE3FE4">
        <w:rPr>
          <w:b/>
          <w:bCs/>
          <w:sz w:val="20"/>
          <w:szCs w:val="20"/>
        </w:rPr>
        <w:t xml:space="preserve"> </w:t>
      </w:r>
      <w:hyperlink r:id="rId7" w:history="1">
        <w:r w:rsidRPr="00EE3FE4">
          <w:rPr>
            <w:rFonts w:eastAsia="Times New Roman" w:cs="Calibri"/>
            <w:sz w:val="20"/>
            <w:szCs w:val="20"/>
            <w:u w:val="single"/>
            <w:lang w:eastAsia="en-GB"/>
          </w:rPr>
          <w:t xml:space="preserve">https://pubmed.ncbi.nlm.nih.gov/21171936/ </w:t>
        </w:r>
      </w:hyperlink>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Year: </w:t>
      </w:r>
      <w:r w:rsidR="00F248E7">
        <w:rPr>
          <w:b/>
          <w:bCs/>
          <w:sz w:val="20"/>
          <w:szCs w:val="20"/>
        </w:rPr>
        <w:t xml:space="preserve"> </w:t>
      </w:r>
      <w:r w:rsidRPr="00EE3FE4">
        <w:rPr>
          <w:rFonts w:eastAsia="Times New Roman" w:cs="Calibri"/>
          <w:sz w:val="20"/>
          <w:szCs w:val="20"/>
          <w:lang w:eastAsia="en-GB"/>
        </w:rPr>
        <w:t>2011</w:t>
      </w:r>
    </w:p>
    <w:p w:rsidR="00EE3FE4" w:rsidRPr="00EE3FE4" w:rsidRDefault="00EE3FE4" w:rsidP="00EE3FE4">
      <w:pPr>
        <w:rPr>
          <w:b/>
          <w:bCs/>
          <w:sz w:val="20"/>
          <w:szCs w:val="20"/>
        </w:rPr>
      </w:pPr>
    </w:p>
    <w:p w:rsidR="00EE3FE4" w:rsidRPr="00EE3FE4" w:rsidRDefault="00EE3FE4" w:rsidP="00EE3FE4">
      <w:pPr>
        <w:rPr>
          <w:b/>
          <w:bCs/>
          <w:sz w:val="20"/>
          <w:szCs w:val="20"/>
        </w:rPr>
      </w:pPr>
      <w:proofErr w:type="spellStart"/>
      <w:r w:rsidRPr="00EE3FE4">
        <w:rPr>
          <w:b/>
          <w:bCs/>
          <w:sz w:val="20"/>
          <w:szCs w:val="20"/>
        </w:rPr>
        <w:t>Pubmed</w:t>
      </w:r>
      <w:proofErr w:type="spellEnd"/>
      <w:r w:rsidRPr="00EE3FE4">
        <w:rPr>
          <w:b/>
          <w:bCs/>
          <w:sz w:val="20"/>
          <w:szCs w:val="20"/>
        </w:rPr>
        <w:t xml:space="preserve"> classification: </w:t>
      </w:r>
      <w:r w:rsidR="00F248E7">
        <w:rPr>
          <w:b/>
          <w:bCs/>
          <w:sz w:val="20"/>
          <w:szCs w:val="20"/>
        </w:rPr>
        <w:t xml:space="preserve"> </w:t>
      </w:r>
      <w:r w:rsidRPr="00EE3FE4">
        <w:rPr>
          <w:rFonts w:eastAsia="Times New Roman" w:cs="Calibri"/>
          <w:sz w:val="20"/>
          <w:szCs w:val="20"/>
          <w:lang w:eastAsia="en-GB"/>
        </w:rPr>
        <w:t>Review.</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Further review information:</w:t>
      </w:r>
      <w:r w:rsidR="00F248E7">
        <w:rPr>
          <w:b/>
          <w:bCs/>
          <w:sz w:val="20"/>
          <w:szCs w:val="20"/>
        </w:rPr>
        <w:t xml:space="preserve"> </w:t>
      </w:r>
      <w:r w:rsidRPr="00EE3FE4">
        <w:rPr>
          <w:b/>
          <w:bCs/>
          <w:sz w:val="20"/>
          <w:szCs w:val="20"/>
        </w:rPr>
        <w:t xml:space="preserve"> </w:t>
      </w:r>
      <w:r w:rsidRPr="00EE3FE4">
        <w:rPr>
          <w:rFonts w:eastAsia="Times New Roman" w:cs="Calibri"/>
          <w:sz w:val="20"/>
          <w:szCs w:val="20"/>
          <w:lang w:eastAsia="en-GB"/>
        </w:rPr>
        <w:t>Systematic review.</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Objective: </w:t>
      </w:r>
      <w:r w:rsidR="00F248E7">
        <w:rPr>
          <w:b/>
          <w:bCs/>
          <w:sz w:val="20"/>
          <w:szCs w:val="20"/>
        </w:rPr>
        <w:t xml:space="preserve"> </w:t>
      </w:r>
      <w:r w:rsidRPr="00EE3FE4">
        <w:rPr>
          <w:rFonts w:eastAsia="Times New Roman" w:cs="Calibri"/>
          <w:sz w:val="20"/>
          <w:szCs w:val="20"/>
          <w:lang w:eastAsia="en-GB"/>
        </w:rPr>
        <w:t xml:space="preserve">This systematic review is aimed at analysing the effects of herb remedies on PMS and PMDD. </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Number of studies and types of papers: </w:t>
      </w:r>
      <w:r w:rsidR="00F248E7">
        <w:rPr>
          <w:b/>
          <w:bCs/>
          <w:sz w:val="20"/>
          <w:szCs w:val="20"/>
        </w:rPr>
        <w:t xml:space="preserve"> </w:t>
      </w:r>
      <w:r w:rsidRPr="00EE3FE4">
        <w:rPr>
          <w:rFonts w:eastAsia="Times New Roman" w:cs="Calibri"/>
          <w:sz w:val="20"/>
          <w:szCs w:val="20"/>
          <w:lang w:eastAsia="en-GB"/>
        </w:rPr>
        <w:t xml:space="preserve">Of 102 articles identified, 17 RCTs were eligible and 10 of them were included.  </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Databases searched/inclusion criteria: </w:t>
      </w:r>
      <w:r w:rsidR="00F248E7">
        <w:rPr>
          <w:b/>
          <w:bCs/>
          <w:sz w:val="20"/>
          <w:szCs w:val="20"/>
        </w:rPr>
        <w:t xml:space="preserve"> </w:t>
      </w:r>
      <w:r w:rsidRPr="00EE3FE4">
        <w:rPr>
          <w:rFonts w:eastAsia="Times New Roman" w:cs="Calibri"/>
          <w:sz w:val="20"/>
          <w:szCs w:val="20"/>
          <w:lang w:eastAsia="en-GB"/>
        </w:rPr>
        <w:t xml:space="preserve">Systematic literature searches were performed in electronic databases, covering the period January 1980 to September 2010. Randomised controlled clinical trials (RCTs) were included. </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Methods for assessing research quality:</w:t>
      </w:r>
      <w:r w:rsidR="00F248E7">
        <w:rPr>
          <w:b/>
          <w:bCs/>
          <w:sz w:val="20"/>
          <w:szCs w:val="20"/>
        </w:rPr>
        <w:t xml:space="preserve"> </w:t>
      </w:r>
      <w:r w:rsidRPr="00EE3FE4">
        <w:rPr>
          <w:b/>
          <w:bCs/>
          <w:sz w:val="20"/>
          <w:szCs w:val="20"/>
        </w:rPr>
        <w:t xml:space="preserve"> </w:t>
      </w:r>
      <w:r w:rsidRPr="00EE3FE4">
        <w:rPr>
          <w:rFonts w:eastAsia="Times New Roman" w:cs="Calibri"/>
          <w:sz w:val="20"/>
          <w:szCs w:val="20"/>
          <w:lang w:eastAsia="en-GB"/>
        </w:rPr>
        <w:t xml:space="preserve">Papers quality was evaluated with the </w:t>
      </w:r>
      <w:proofErr w:type="spellStart"/>
      <w:r w:rsidRPr="00EE3FE4">
        <w:rPr>
          <w:rFonts w:eastAsia="Times New Roman" w:cs="Calibri"/>
          <w:sz w:val="20"/>
          <w:szCs w:val="20"/>
          <w:lang w:eastAsia="en-GB"/>
        </w:rPr>
        <w:t>Jadad</w:t>
      </w:r>
      <w:proofErr w:type="spellEnd"/>
      <w:r w:rsidRPr="00EE3FE4">
        <w:rPr>
          <w:rFonts w:eastAsia="Times New Roman" w:cs="Calibri"/>
          <w:sz w:val="20"/>
          <w:szCs w:val="20"/>
          <w:lang w:eastAsia="en-GB"/>
        </w:rPr>
        <w:t>' scale. A further evaluation of PMS/PMDD diagnostic criteria was also done.</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Statistical analysis methods:</w:t>
      </w:r>
      <w:r w:rsidR="00F248E7">
        <w:rPr>
          <w:b/>
          <w:bCs/>
          <w:sz w:val="20"/>
          <w:szCs w:val="20"/>
        </w:rPr>
        <w:t xml:space="preserve"> </w:t>
      </w:r>
      <w:r w:rsidRPr="00EE3FE4">
        <w:rPr>
          <w:b/>
          <w:bCs/>
          <w:sz w:val="20"/>
          <w:szCs w:val="20"/>
        </w:rPr>
        <w:t xml:space="preserve"> </w:t>
      </w:r>
      <w:r w:rsidRPr="00EE3FE4">
        <w:rPr>
          <w:rFonts w:eastAsia="Times New Roman" w:cs="Calibri"/>
          <w:sz w:val="20"/>
          <w:szCs w:val="20"/>
          <w:lang w:eastAsia="en-GB"/>
        </w:rPr>
        <w:t>The heterogeneity of population included, study design, and outcome presentation refrained from a meta-analysis.</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Efficacy outcomes: </w:t>
      </w:r>
      <w:r w:rsidR="00F248E7">
        <w:rPr>
          <w:b/>
          <w:bCs/>
          <w:sz w:val="20"/>
          <w:szCs w:val="20"/>
        </w:rPr>
        <w:t xml:space="preserve"> </w:t>
      </w:r>
      <w:proofErr w:type="spellStart"/>
      <w:r w:rsidRPr="00EE3FE4">
        <w:rPr>
          <w:rFonts w:eastAsia="Times New Roman" w:cs="Calibri"/>
          <w:sz w:val="20"/>
          <w:szCs w:val="20"/>
          <w:lang w:eastAsia="en-GB"/>
        </w:rPr>
        <w:t>Vitex</w:t>
      </w:r>
      <w:proofErr w:type="spellEnd"/>
      <w:r w:rsidRPr="00EE3FE4">
        <w:rPr>
          <w:rFonts w:eastAsia="Times New Roman" w:cs="Calibri"/>
          <w:sz w:val="20"/>
          <w:szCs w:val="20"/>
          <w:lang w:eastAsia="en-GB"/>
        </w:rPr>
        <w:t xml:space="preserve"> </w:t>
      </w:r>
      <w:proofErr w:type="spellStart"/>
      <w:r w:rsidRPr="00EE3FE4">
        <w:rPr>
          <w:rFonts w:eastAsia="Times New Roman" w:cs="Calibri"/>
          <w:sz w:val="20"/>
          <w:szCs w:val="20"/>
          <w:lang w:eastAsia="en-GB"/>
        </w:rPr>
        <w:t>agnus</w:t>
      </w:r>
      <w:proofErr w:type="spellEnd"/>
      <w:r w:rsidRPr="00EE3FE4">
        <w:rPr>
          <w:rFonts w:eastAsia="Times New Roman" w:cs="Calibri"/>
          <w:sz w:val="20"/>
          <w:szCs w:val="20"/>
          <w:lang w:eastAsia="en-GB"/>
        </w:rPr>
        <w:t xml:space="preserve"> </w:t>
      </w:r>
      <w:proofErr w:type="spellStart"/>
      <w:r w:rsidRPr="00EE3FE4">
        <w:rPr>
          <w:rFonts w:eastAsia="Times New Roman" w:cs="Calibri"/>
          <w:sz w:val="20"/>
          <w:szCs w:val="20"/>
          <w:lang w:eastAsia="en-GB"/>
        </w:rPr>
        <w:t>castus</w:t>
      </w:r>
      <w:proofErr w:type="spellEnd"/>
      <w:r w:rsidRPr="00EE3FE4">
        <w:rPr>
          <w:rFonts w:eastAsia="Times New Roman" w:cs="Calibri"/>
          <w:sz w:val="20"/>
          <w:szCs w:val="20"/>
          <w:lang w:eastAsia="en-GB"/>
        </w:rPr>
        <w:t xml:space="preserve"> was the more investigated remedy (5 trials, about 500 women), and it was reported to consistently ameliorate PMS better than placebo. Single trials also support the use of either Gingko </w:t>
      </w:r>
      <w:proofErr w:type="spellStart"/>
      <w:r w:rsidRPr="00EE3FE4">
        <w:rPr>
          <w:rFonts w:eastAsia="Times New Roman" w:cs="Calibri"/>
          <w:sz w:val="20"/>
          <w:szCs w:val="20"/>
          <w:lang w:eastAsia="en-GB"/>
        </w:rPr>
        <w:t>biloba</w:t>
      </w:r>
      <w:proofErr w:type="spellEnd"/>
      <w:r w:rsidRPr="00EE3FE4">
        <w:rPr>
          <w:rFonts w:eastAsia="Times New Roman" w:cs="Calibri"/>
          <w:sz w:val="20"/>
          <w:szCs w:val="20"/>
          <w:lang w:eastAsia="en-GB"/>
        </w:rPr>
        <w:t xml:space="preserve"> or Crocus </w:t>
      </w:r>
      <w:proofErr w:type="spellStart"/>
      <w:r w:rsidRPr="00EE3FE4">
        <w:rPr>
          <w:rFonts w:eastAsia="Times New Roman" w:cs="Calibri"/>
          <w:sz w:val="20"/>
          <w:szCs w:val="20"/>
          <w:lang w:eastAsia="en-GB"/>
        </w:rPr>
        <w:t>sativus</w:t>
      </w:r>
      <w:proofErr w:type="spellEnd"/>
      <w:r w:rsidRPr="00EE3FE4">
        <w:rPr>
          <w:rFonts w:eastAsia="Times New Roman" w:cs="Calibri"/>
          <w:sz w:val="20"/>
          <w:szCs w:val="20"/>
          <w:lang w:eastAsia="en-GB"/>
        </w:rPr>
        <w:t xml:space="preserve">. On the contrary, neither Evening Primrose Oil nor St. John's </w:t>
      </w:r>
      <w:proofErr w:type="spellStart"/>
      <w:r w:rsidRPr="00EE3FE4">
        <w:rPr>
          <w:rFonts w:eastAsia="Times New Roman" w:cs="Calibri"/>
          <w:sz w:val="20"/>
          <w:szCs w:val="20"/>
          <w:lang w:eastAsia="en-GB"/>
        </w:rPr>
        <w:t>Wort</w:t>
      </w:r>
      <w:proofErr w:type="spellEnd"/>
      <w:r w:rsidRPr="00EE3FE4">
        <w:rPr>
          <w:rFonts w:eastAsia="Times New Roman" w:cs="Calibri"/>
          <w:sz w:val="20"/>
          <w:szCs w:val="20"/>
          <w:lang w:eastAsia="en-GB"/>
        </w:rPr>
        <w:t xml:space="preserve"> show an effect different than placebo. </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Side-effects assessment: </w:t>
      </w:r>
      <w:r w:rsidR="00F248E7">
        <w:rPr>
          <w:b/>
          <w:bCs/>
          <w:sz w:val="20"/>
          <w:szCs w:val="20"/>
        </w:rPr>
        <w:t xml:space="preserve"> </w:t>
      </w:r>
      <w:r w:rsidRPr="00EE3FE4">
        <w:rPr>
          <w:rFonts w:eastAsia="Times New Roman" w:cs="Calibri"/>
          <w:sz w:val="20"/>
          <w:szCs w:val="20"/>
          <w:lang w:eastAsia="en-GB"/>
        </w:rPr>
        <w:t>None of the herbs was associated with major health risks, although the reduced number of tested patients does not allow definitive conclusions on safety.</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 xml:space="preserve">Conclusion: </w:t>
      </w:r>
      <w:r w:rsidR="00F248E7">
        <w:rPr>
          <w:b/>
          <w:bCs/>
          <w:sz w:val="20"/>
          <w:szCs w:val="20"/>
        </w:rPr>
        <w:t xml:space="preserve"> </w:t>
      </w:r>
      <w:r w:rsidRPr="00EE3FE4">
        <w:rPr>
          <w:rFonts w:eastAsia="Times New Roman" w:cs="Calibri"/>
          <w:sz w:val="20"/>
          <w:szCs w:val="20"/>
          <w:lang w:eastAsia="en-GB"/>
        </w:rPr>
        <w:t>Some herb remedies seem useful for the treatment of PMS.</w:t>
      </w:r>
    </w:p>
    <w:p w:rsidR="00EE3FE4" w:rsidRPr="00EE3FE4" w:rsidRDefault="00EE3FE4" w:rsidP="00EE3FE4">
      <w:pPr>
        <w:rPr>
          <w:b/>
          <w:bCs/>
          <w:sz w:val="20"/>
          <w:szCs w:val="20"/>
        </w:rPr>
      </w:pPr>
    </w:p>
    <w:p w:rsidR="00EE3FE4" w:rsidRPr="00EE3FE4" w:rsidRDefault="00EE3FE4" w:rsidP="00EE3FE4">
      <w:pPr>
        <w:rPr>
          <w:b/>
          <w:bCs/>
          <w:sz w:val="20"/>
          <w:szCs w:val="20"/>
        </w:rPr>
      </w:pPr>
      <w:r w:rsidRPr="00EE3FE4">
        <w:rPr>
          <w:b/>
          <w:bCs/>
          <w:sz w:val="20"/>
          <w:szCs w:val="20"/>
        </w:rPr>
        <w:t>Considerations for future:</w:t>
      </w:r>
      <w:r w:rsidR="00F248E7">
        <w:rPr>
          <w:b/>
          <w:bCs/>
          <w:sz w:val="20"/>
          <w:szCs w:val="20"/>
        </w:rPr>
        <w:t xml:space="preserve"> </w:t>
      </w:r>
      <w:r w:rsidRPr="00EE3FE4">
        <w:rPr>
          <w:b/>
          <w:bCs/>
          <w:sz w:val="20"/>
          <w:szCs w:val="20"/>
        </w:rPr>
        <w:t xml:space="preserve"> </w:t>
      </w:r>
      <w:r w:rsidRPr="00EE3FE4">
        <w:rPr>
          <w:rFonts w:eastAsia="Times New Roman" w:cs="Calibri"/>
          <w:sz w:val="20"/>
          <w:szCs w:val="20"/>
          <w:lang w:eastAsia="en-GB"/>
        </w:rPr>
        <w:t>More RCTs are required to account for the heterogeneity of the syndrome.</w:t>
      </w:r>
    </w:p>
    <w:p w:rsidR="00EE3FE4" w:rsidRPr="00EE3FE4" w:rsidRDefault="00EE3FE4" w:rsidP="00EE3FE4">
      <w:pPr>
        <w:pStyle w:val="Heading3"/>
        <w:rPr>
          <w:rFonts w:eastAsia="Times New Roman"/>
          <w:sz w:val="20"/>
          <w:szCs w:val="20"/>
          <w:lang w:eastAsia="en-GB"/>
        </w:rPr>
      </w:pPr>
    </w:p>
    <w:p w:rsidR="00EE3FE4" w:rsidRPr="00EE3FE4" w:rsidRDefault="00EE3FE4" w:rsidP="00EE3FE4">
      <w:pPr>
        <w:rPr>
          <w:sz w:val="20"/>
          <w:szCs w:val="20"/>
        </w:rPr>
      </w:pPr>
    </w:p>
    <w:p w:rsidR="00EE3FE4" w:rsidRDefault="00EE3FE4" w:rsidP="00EE3FE4">
      <w:pPr>
        <w:pStyle w:val="Heading3"/>
        <w:rPr>
          <w:rFonts w:ascii="Trebuchet MS" w:hAnsi="Trebuchet MS"/>
          <w:b/>
        </w:rPr>
      </w:pPr>
    </w:p>
    <w:p w:rsidR="00EE3FE4" w:rsidRPr="00EE3FE4" w:rsidRDefault="00EE3FE4" w:rsidP="00EE3FE4"/>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pStyle w:val="Heading3"/>
        <w:rPr>
          <w:rFonts w:ascii="Trebuchet MS" w:eastAsia="Times New Roman" w:hAnsi="Trebuchet MS"/>
          <w:b/>
          <w:lang w:eastAsia="en-GB"/>
        </w:rPr>
      </w:pPr>
    </w:p>
    <w:p w:rsidR="00EE3FE4" w:rsidRDefault="00EE3FE4" w:rsidP="00EE3FE4">
      <w:pPr>
        <w:rPr>
          <w:lang w:eastAsia="en-GB"/>
        </w:rPr>
      </w:pPr>
    </w:p>
    <w:p w:rsidR="00EE3FE4" w:rsidRPr="00C47030" w:rsidRDefault="00EE3FE4" w:rsidP="00EE3FE4">
      <w:pPr>
        <w:pStyle w:val="Heading3"/>
        <w:rPr>
          <w:rFonts w:ascii="Trebuchet MS" w:eastAsia="Times New Roman" w:hAnsi="Trebuchet MS"/>
          <w:b/>
          <w:lang w:eastAsia="en-GB"/>
        </w:rPr>
      </w:pPr>
      <w:r w:rsidRPr="00C47030">
        <w:rPr>
          <w:rFonts w:ascii="Trebuchet MS" w:eastAsia="Times New Roman" w:hAnsi="Trebuchet MS"/>
          <w:b/>
          <w:lang w:eastAsia="en-GB"/>
        </w:rPr>
        <w:lastRenderedPageBreak/>
        <w:t xml:space="preserve">Review 2009: </w:t>
      </w:r>
      <w:r w:rsidR="00F248E7">
        <w:rPr>
          <w:rFonts w:ascii="Trebuchet MS" w:eastAsia="Times New Roman" w:hAnsi="Trebuchet MS"/>
          <w:b/>
          <w:lang w:eastAsia="en-GB"/>
        </w:rPr>
        <w:t>Alternative Supplements</w:t>
      </w:r>
      <w:r w:rsidRPr="00C47030">
        <w:rPr>
          <w:rFonts w:ascii="Trebuchet MS" w:eastAsia="Times New Roman" w:hAnsi="Trebuchet MS"/>
          <w:b/>
          <w:lang w:eastAsia="en-GB"/>
        </w:rPr>
        <w:t xml:space="preserve"> </w:t>
      </w:r>
    </w:p>
    <w:p w:rsidR="00EE3FE4" w:rsidRPr="00403E50" w:rsidRDefault="00EE3FE4" w:rsidP="00EE3FE4">
      <w:pPr>
        <w:rPr>
          <w:b/>
          <w:bCs/>
        </w:rPr>
      </w:pPr>
      <w:proofErr w:type="gramStart"/>
      <w:r w:rsidRPr="00403E50">
        <w:rPr>
          <w:rFonts w:eastAsia="Times New Roman" w:cs="Calibri"/>
          <w:b/>
          <w:lang w:eastAsia="en-GB"/>
        </w:rPr>
        <w:t>Determining  their</w:t>
      </w:r>
      <w:proofErr w:type="gramEnd"/>
      <w:r w:rsidRPr="00403E50">
        <w:rPr>
          <w:rFonts w:eastAsia="Times New Roman" w:cs="Calibri"/>
          <w:b/>
          <w:lang w:eastAsia="en-GB"/>
        </w:rPr>
        <w:t xml:space="preserve"> efficacy in reducing severity of PMS/PMDD symptoms.</w:t>
      </w:r>
    </w:p>
    <w:p w:rsidR="00EE3FE4" w:rsidRPr="00C47030" w:rsidRDefault="00EE3FE4" w:rsidP="00EE3FE4">
      <w:pPr>
        <w:rPr>
          <w:b/>
          <w:bCs/>
          <w:sz w:val="20"/>
          <w:szCs w:val="20"/>
        </w:rPr>
      </w:pPr>
    </w:p>
    <w:p w:rsidR="00EE3FE4" w:rsidRDefault="00EE3FE4" w:rsidP="00EE3FE4">
      <w:pPr>
        <w:rPr>
          <w:rFonts w:eastAsia="Times New Roman" w:cs="Calibri"/>
          <w:sz w:val="20"/>
          <w:szCs w:val="20"/>
          <w:lang w:eastAsia="en-GB"/>
        </w:rPr>
      </w:pPr>
      <w:r w:rsidRPr="00C47030">
        <w:rPr>
          <w:b/>
          <w:bCs/>
          <w:sz w:val="20"/>
          <w:szCs w:val="20"/>
        </w:rPr>
        <w:t xml:space="preserve">Year: </w:t>
      </w:r>
      <w:r w:rsidR="00F248E7">
        <w:rPr>
          <w:b/>
          <w:bCs/>
          <w:sz w:val="20"/>
          <w:szCs w:val="20"/>
        </w:rPr>
        <w:t xml:space="preserve"> </w:t>
      </w:r>
      <w:r w:rsidRPr="00C47030">
        <w:rPr>
          <w:rFonts w:eastAsia="Times New Roman" w:cs="Calibri"/>
          <w:sz w:val="20"/>
          <w:szCs w:val="20"/>
          <w:lang w:eastAsia="en-GB"/>
        </w:rPr>
        <w:t>2009</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Link:</w:t>
      </w:r>
      <w:r w:rsidR="00F248E7">
        <w:rPr>
          <w:b/>
          <w:bCs/>
          <w:sz w:val="20"/>
          <w:szCs w:val="20"/>
        </w:rPr>
        <w:t xml:space="preserve"> </w:t>
      </w:r>
      <w:r w:rsidRPr="00C47030">
        <w:rPr>
          <w:b/>
          <w:bCs/>
          <w:sz w:val="20"/>
          <w:szCs w:val="20"/>
        </w:rPr>
        <w:t xml:space="preserve"> </w:t>
      </w:r>
      <w:hyperlink r:id="rId8" w:history="1">
        <w:r w:rsidRPr="00C47030">
          <w:rPr>
            <w:rFonts w:eastAsia="Times New Roman" w:cs="Calibri"/>
            <w:sz w:val="20"/>
            <w:szCs w:val="20"/>
            <w:u w:val="single"/>
            <w:lang w:eastAsia="en-GB"/>
          </w:rPr>
          <w:t xml:space="preserve">https://pubmed.ncbi.nlm.nih.gov/19923637/ </w:t>
        </w:r>
      </w:hyperlink>
    </w:p>
    <w:p w:rsidR="00EE3FE4" w:rsidRDefault="00EE3FE4" w:rsidP="00EE3FE4">
      <w:pPr>
        <w:rPr>
          <w:b/>
          <w:bCs/>
          <w:sz w:val="20"/>
          <w:szCs w:val="20"/>
        </w:rPr>
      </w:pPr>
    </w:p>
    <w:p w:rsidR="00EE3FE4" w:rsidRPr="00C47030" w:rsidRDefault="00EE3FE4" w:rsidP="00EE3FE4">
      <w:pPr>
        <w:rPr>
          <w:b/>
          <w:bCs/>
          <w:sz w:val="20"/>
          <w:szCs w:val="20"/>
        </w:rPr>
      </w:pPr>
      <w:proofErr w:type="spellStart"/>
      <w:r w:rsidRPr="00C47030">
        <w:rPr>
          <w:b/>
          <w:bCs/>
          <w:sz w:val="20"/>
          <w:szCs w:val="20"/>
        </w:rPr>
        <w:t>Pubmed</w:t>
      </w:r>
      <w:proofErr w:type="spellEnd"/>
      <w:r w:rsidRPr="00C47030">
        <w:rPr>
          <w:b/>
          <w:bCs/>
          <w:sz w:val="20"/>
          <w:szCs w:val="20"/>
        </w:rPr>
        <w:t xml:space="preserve"> classification: </w:t>
      </w:r>
      <w:r w:rsidR="00F248E7">
        <w:rPr>
          <w:b/>
          <w:bCs/>
          <w:sz w:val="20"/>
          <w:szCs w:val="20"/>
        </w:rPr>
        <w:t xml:space="preserve"> </w:t>
      </w:r>
      <w:r w:rsidRPr="00C47030">
        <w:rPr>
          <w:rFonts w:eastAsia="Times New Roman" w:cs="Calibri"/>
          <w:sz w:val="20"/>
          <w:szCs w:val="20"/>
          <w:lang w:eastAsia="en-GB"/>
        </w:rPr>
        <w:t>Review.</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 xml:space="preserve">Further review information: </w:t>
      </w:r>
      <w:r w:rsidR="00F248E7">
        <w:rPr>
          <w:b/>
          <w:bCs/>
          <w:sz w:val="20"/>
          <w:szCs w:val="20"/>
        </w:rPr>
        <w:t xml:space="preserve"> </w:t>
      </w:r>
      <w:r w:rsidRPr="00C47030">
        <w:rPr>
          <w:rFonts w:eastAsia="Times New Roman" w:cs="Calibri"/>
          <w:sz w:val="20"/>
          <w:szCs w:val="20"/>
          <w:lang w:eastAsia="en-GB"/>
        </w:rPr>
        <w:t>Systematic review.</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Objective:</w:t>
      </w:r>
      <w:r w:rsidR="00F248E7">
        <w:rPr>
          <w:b/>
          <w:bCs/>
          <w:sz w:val="20"/>
          <w:szCs w:val="20"/>
        </w:rPr>
        <w:t xml:space="preserve"> </w:t>
      </w:r>
      <w:r w:rsidRPr="00C47030">
        <w:rPr>
          <w:b/>
          <w:bCs/>
          <w:sz w:val="20"/>
          <w:szCs w:val="20"/>
        </w:rPr>
        <w:t xml:space="preserve"> </w:t>
      </w:r>
      <w:r w:rsidRPr="00C47030">
        <w:rPr>
          <w:rFonts w:eastAsia="Times New Roman" w:cs="Calibri"/>
          <w:sz w:val="20"/>
          <w:szCs w:val="20"/>
          <w:lang w:eastAsia="en-GB"/>
        </w:rPr>
        <w:t>To identify herbs, vitamins and minerals advocated for the treatment of PMS and/or PMDD; and to systematically review evidence from randomized controlled trials (RCTs) to determine their efficacy in reducing severity of PMS/PMDD symptoms.</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 xml:space="preserve">Number of studies and types of papers: </w:t>
      </w:r>
      <w:r w:rsidRPr="00C47030">
        <w:rPr>
          <w:rFonts w:eastAsia="Times New Roman" w:cs="Calibri"/>
          <w:sz w:val="20"/>
          <w:szCs w:val="20"/>
          <w:lang w:eastAsia="en-GB"/>
        </w:rPr>
        <w:t>62 herbs, vitamins and minerals were identified for which claims of benefit for PMS were made, with RCT evidence found for only 10.</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Databases searched/ inclusion criteria:</w:t>
      </w:r>
      <w:r w:rsidR="00F248E7">
        <w:rPr>
          <w:b/>
          <w:bCs/>
          <w:sz w:val="20"/>
          <w:szCs w:val="20"/>
        </w:rPr>
        <w:t xml:space="preserve"> </w:t>
      </w:r>
      <w:r w:rsidRPr="00C47030">
        <w:rPr>
          <w:b/>
          <w:bCs/>
          <w:sz w:val="20"/>
          <w:szCs w:val="20"/>
        </w:rPr>
        <w:t xml:space="preserve"> </w:t>
      </w:r>
      <w:r w:rsidRPr="00C47030">
        <w:rPr>
          <w:rFonts w:eastAsia="Times New Roman" w:cs="Calibri"/>
          <w:sz w:val="20"/>
          <w:szCs w:val="20"/>
          <w:lang w:eastAsia="en-GB"/>
        </w:rPr>
        <w:t xml:space="preserve">Searches were conducted from inception to April 2008 in Clinical Evidence, The Cochrane Library, </w:t>
      </w:r>
      <w:proofErr w:type="spellStart"/>
      <w:r w:rsidRPr="00C47030">
        <w:rPr>
          <w:rFonts w:eastAsia="Times New Roman" w:cs="Calibri"/>
          <w:sz w:val="20"/>
          <w:szCs w:val="20"/>
          <w:lang w:eastAsia="en-GB"/>
        </w:rPr>
        <w:t>Embase</w:t>
      </w:r>
      <w:proofErr w:type="spellEnd"/>
      <w:r w:rsidRPr="00C47030">
        <w:rPr>
          <w:rFonts w:eastAsia="Times New Roman" w:cs="Calibri"/>
          <w:sz w:val="20"/>
          <w:szCs w:val="20"/>
          <w:lang w:eastAsia="en-GB"/>
        </w:rPr>
        <w:t xml:space="preserve">, IBID, IPA, </w:t>
      </w:r>
      <w:proofErr w:type="spellStart"/>
      <w:r w:rsidRPr="00C47030">
        <w:rPr>
          <w:rFonts w:eastAsia="Times New Roman" w:cs="Calibri"/>
          <w:sz w:val="20"/>
          <w:szCs w:val="20"/>
          <w:lang w:eastAsia="en-GB"/>
        </w:rPr>
        <w:t>Mayoclinic</w:t>
      </w:r>
      <w:proofErr w:type="spellEnd"/>
      <w:r w:rsidRPr="00C47030">
        <w:rPr>
          <w:rFonts w:eastAsia="Times New Roman" w:cs="Calibri"/>
          <w:sz w:val="20"/>
          <w:szCs w:val="20"/>
          <w:lang w:eastAsia="en-GB"/>
        </w:rPr>
        <w:t xml:space="preserve">, </w:t>
      </w:r>
      <w:proofErr w:type="spellStart"/>
      <w:r w:rsidRPr="00C47030">
        <w:rPr>
          <w:rFonts w:eastAsia="Times New Roman" w:cs="Calibri"/>
          <w:sz w:val="20"/>
          <w:szCs w:val="20"/>
          <w:lang w:eastAsia="en-GB"/>
        </w:rPr>
        <w:t>Medscape</w:t>
      </w:r>
      <w:proofErr w:type="spellEnd"/>
      <w:r w:rsidRPr="00C47030">
        <w:rPr>
          <w:rFonts w:eastAsia="Times New Roman" w:cs="Calibri"/>
          <w:sz w:val="20"/>
          <w:szCs w:val="20"/>
          <w:lang w:eastAsia="en-GB"/>
        </w:rPr>
        <w:t>, MEDLINE Plus, Natural Medicines Comprehensive Database and the Internet to identify RCTs of herbs, vitamins or minerals advocated for PMS. Bibliographies of articles were also examined. Included studies were published in English or French. Studies were excluded if patient satisfaction was the sole outcome measure or if the comparator was not placebo or recognized therapy.</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 xml:space="preserve">Statistical analysis methods: </w:t>
      </w:r>
      <w:r w:rsidR="00F248E7">
        <w:rPr>
          <w:b/>
          <w:bCs/>
          <w:sz w:val="20"/>
          <w:szCs w:val="20"/>
        </w:rPr>
        <w:t xml:space="preserve"> </w:t>
      </w:r>
      <w:r w:rsidRPr="00C47030">
        <w:rPr>
          <w:rFonts w:eastAsia="Times New Roman" w:cs="Calibri"/>
          <w:sz w:val="20"/>
          <w:szCs w:val="20"/>
          <w:lang w:eastAsia="en-GB"/>
        </w:rPr>
        <w:t>Heterogeneity of length of trials, specific products and doses, and outcome measures precluded meta-analysis for any NP (natural product).</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 xml:space="preserve">Efficacy outcomes: </w:t>
      </w:r>
      <w:r w:rsidR="00F248E7">
        <w:rPr>
          <w:b/>
          <w:bCs/>
          <w:sz w:val="20"/>
          <w:szCs w:val="20"/>
        </w:rPr>
        <w:t xml:space="preserve"> </w:t>
      </w:r>
      <w:r w:rsidRPr="00C47030">
        <w:rPr>
          <w:rFonts w:eastAsia="Times New Roman" w:cs="Calibri"/>
          <w:sz w:val="20"/>
          <w:szCs w:val="20"/>
          <w:lang w:eastAsia="en-GB"/>
        </w:rPr>
        <w:t xml:space="preserve">Data supports the use of calcium for PMS, and suggests that </w:t>
      </w:r>
      <w:proofErr w:type="spellStart"/>
      <w:r w:rsidRPr="00C47030">
        <w:rPr>
          <w:rFonts w:eastAsia="Times New Roman" w:cs="Calibri"/>
          <w:sz w:val="20"/>
          <w:szCs w:val="20"/>
          <w:lang w:eastAsia="en-GB"/>
        </w:rPr>
        <w:t>chasteberry</w:t>
      </w:r>
      <w:proofErr w:type="spellEnd"/>
      <w:r w:rsidRPr="00C47030">
        <w:rPr>
          <w:rFonts w:eastAsia="Times New Roman" w:cs="Calibri"/>
          <w:sz w:val="20"/>
          <w:szCs w:val="20"/>
          <w:lang w:eastAsia="en-GB"/>
        </w:rPr>
        <w:t xml:space="preserve"> and vitamin B6 may be effective. Preliminary data shows some benefit with ginkgo, magnesium </w:t>
      </w:r>
      <w:proofErr w:type="spellStart"/>
      <w:r w:rsidRPr="00C47030">
        <w:rPr>
          <w:rFonts w:eastAsia="Times New Roman" w:cs="Calibri"/>
          <w:sz w:val="20"/>
          <w:szCs w:val="20"/>
          <w:lang w:eastAsia="en-GB"/>
        </w:rPr>
        <w:t>pyrrolidone</w:t>
      </w:r>
      <w:proofErr w:type="spellEnd"/>
      <w:r w:rsidRPr="00C47030">
        <w:rPr>
          <w:rFonts w:eastAsia="Times New Roman" w:cs="Calibri"/>
          <w:sz w:val="20"/>
          <w:szCs w:val="20"/>
          <w:lang w:eastAsia="en-GB"/>
        </w:rPr>
        <w:t xml:space="preserve">, saffron, St. John's </w:t>
      </w:r>
      <w:proofErr w:type="spellStart"/>
      <w:r w:rsidRPr="00C47030">
        <w:rPr>
          <w:rFonts w:eastAsia="Times New Roman" w:cs="Calibri"/>
          <w:sz w:val="20"/>
          <w:szCs w:val="20"/>
          <w:lang w:eastAsia="en-GB"/>
        </w:rPr>
        <w:t>Wort</w:t>
      </w:r>
      <w:proofErr w:type="spellEnd"/>
      <w:r w:rsidRPr="00C47030">
        <w:rPr>
          <w:rFonts w:eastAsia="Times New Roman" w:cs="Calibri"/>
          <w:sz w:val="20"/>
          <w:szCs w:val="20"/>
          <w:lang w:eastAsia="en-GB"/>
        </w:rPr>
        <w:t xml:space="preserve">, soy and vitamin E. No evidence of benefit with evening primrose oil or magnesium oxide was found. </w:t>
      </w:r>
    </w:p>
    <w:p w:rsidR="00EE3FE4" w:rsidRDefault="00EE3FE4" w:rsidP="00EE3FE4">
      <w:pPr>
        <w:rPr>
          <w:b/>
          <w:bCs/>
        </w:rPr>
      </w:pPr>
    </w:p>
    <w:p w:rsidR="00EE3FE4" w:rsidRPr="00C47030" w:rsidRDefault="00EE3FE4" w:rsidP="00EE3FE4">
      <w:pPr>
        <w:rPr>
          <w:b/>
          <w:bCs/>
          <w:sz w:val="20"/>
          <w:szCs w:val="20"/>
        </w:rPr>
      </w:pPr>
      <w:r w:rsidRPr="00C47030">
        <w:rPr>
          <w:b/>
          <w:bCs/>
          <w:sz w:val="20"/>
          <w:szCs w:val="20"/>
        </w:rPr>
        <w:t xml:space="preserve">Conclusion: </w:t>
      </w:r>
      <w:r w:rsidR="00F248E7">
        <w:rPr>
          <w:b/>
          <w:bCs/>
          <w:sz w:val="20"/>
          <w:szCs w:val="20"/>
        </w:rPr>
        <w:t xml:space="preserve"> </w:t>
      </w:r>
      <w:r w:rsidRPr="00C47030">
        <w:rPr>
          <w:rFonts w:eastAsia="Times New Roman" w:cs="Calibri"/>
          <w:sz w:val="20"/>
          <w:szCs w:val="20"/>
          <w:lang w:eastAsia="en-GB"/>
        </w:rPr>
        <w:t>Only calcium had good quality evidence to support its use in PMS. </w:t>
      </w:r>
    </w:p>
    <w:p w:rsidR="00EE3FE4" w:rsidRPr="00C47030" w:rsidRDefault="00EE3FE4" w:rsidP="00EE3FE4">
      <w:pPr>
        <w:rPr>
          <w:b/>
          <w:bCs/>
          <w:sz w:val="20"/>
          <w:szCs w:val="20"/>
        </w:rPr>
      </w:pPr>
    </w:p>
    <w:p w:rsidR="00EE3FE4" w:rsidRPr="00C47030" w:rsidRDefault="00EE3FE4" w:rsidP="00EE3FE4">
      <w:pPr>
        <w:rPr>
          <w:b/>
          <w:bCs/>
          <w:sz w:val="20"/>
          <w:szCs w:val="20"/>
        </w:rPr>
      </w:pPr>
      <w:r w:rsidRPr="00C47030">
        <w:rPr>
          <w:b/>
          <w:bCs/>
          <w:sz w:val="20"/>
          <w:szCs w:val="20"/>
        </w:rPr>
        <w:t xml:space="preserve">Considerations for future: </w:t>
      </w:r>
      <w:r w:rsidR="00F248E7">
        <w:rPr>
          <w:b/>
          <w:bCs/>
          <w:sz w:val="20"/>
          <w:szCs w:val="20"/>
        </w:rPr>
        <w:t xml:space="preserve"> </w:t>
      </w:r>
      <w:r w:rsidRPr="00C47030">
        <w:rPr>
          <w:rFonts w:eastAsia="Times New Roman" w:cs="Calibri"/>
          <w:sz w:val="20"/>
          <w:szCs w:val="20"/>
          <w:lang w:eastAsia="en-GB"/>
        </w:rPr>
        <w:t xml:space="preserve">Further research is needed, using RCTs of adequate length, sufficient sample size, </w:t>
      </w:r>
      <w:proofErr w:type="gramStart"/>
      <w:r w:rsidRPr="00C47030">
        <w:rPr>
          <w:rFonts w:eastAsia="Times New Roman" w:cs="Calibri"/>
          <w:sz w:val="20"/>
          <w:szCs w:val="20"/>
          <w:lang w:eastAsia="en-GB"/>
        </w:rPr>
        <w:t>well</w:t>
      </w:r>
      <w:proofErr w:type="gramEnd"/>
      <w:r w:rsidRPr="00C47030">
        <w:rPr>
          <w:rFonts w:eastAsia="Times New Roman" w:cs="Calibri"/>
          <w:sz w:val="20"/>
          <w:szCs w:val="20"/>
          <w:lang w:eastAsia="en-GB"/>
        </w:rPr>
        <w:t>-characterized products and measuring the effect on severity of individual PMS symptoms.</w:t>
      </w:r>
    </w:p>
    <w:p w:rsidR="00EE3FE4" w:rsidRDefault="00EE3FE4" w:rsidP="00EE3FE4"/>
    <w:p w:rsidR="00EE3FE4" w:rsidRDefault="00EE3FE4">
      <w:pPr>
        <w:spacing w:after="160" w:line="259" w:lineRule="auto"/>
      </w:pPr>
    </w:p>
    <w:sectPr w:rsidR="00EE3FE4" w:rsidSect="00EE3FE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AA" w:rsidRDefault="00797EAA" w:rsidP="00EE3FE4">
      <w:r>
        <w:separator/>
      </w:r>
    </w:p>
  </w:endnote>
  <w:endnote w:type="continuationSeparator" w:id="0">
    <w:p w:rsidR="00797EAA" w:rsidRDefault="00797EAA" w:rsidP="00EE3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AA" w:rsidRDefault="00797EAA" w:rsidP="00EE3FE4">
      <w:r>
        <w:separator/>
      </w:r>
    </w:p>
  </w:footnote>
  <w:footnote w:type="continuationSeparator" w:id="0">
    <w:p w:rsidR="00797EAA" w:rsidRDefault="00797EAA" w:rsidP="00EE3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3FE4"/>
    <w:rsid w:val="00797EAA"/>
    <w:rsid w:val="00860C61"/>
    <w:rsid w:val="00875DF2"/>
    <w:rsid w:val="00C979CD"/>
    <w:rsid w:val="00CC12D7"/>
    <w:rsid w:val="00EE3FE4"/>
    <w:rsid w:val="00F248E7"/>
    <w:rsid w:val="00F67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E3FE4"/>
    <w:pPr>
      <w:spacing w:after="0" w:line="240" w:lineRule="auto"/>
    </w:pPr>
    <w:rPr>
      <w:rFonts w:ascii="Trebuchet MS" w:eastAsiaTheme="minorHAnsi" w:hAnsi="Trebuchet MS" w:cstheme="minorBidi"/>
    </w:rPr>
  </w:style>
  <w:style w:type="paragraph" w:styleId="Heading2">
    <w:name w:val="heading 2"/>
    <w:basedOn w:val="Normal"/>
    <w:next w:val="Normal"/>
    <w:link w:val="Heading2Char"/>
    <w:uiPriority w:val="9"/>
    <w:semiHidden/>
    <w:unhideWhenUsed/>
    <w:rsid w:val="00EE3F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E3FE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3Char">
    <w:name w:val="Heading 3 Char"/>
    <w:basedOn w:val="DefaultParagraphFont"/>
    <w:link w:val="Heading3"/>
    <w:uiPriority w:val="9"/>
    <w:rsid w:val="00EE3FE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unhideWhenUsed/>
    <w:rsid w:val="00EE3FE4"/>
    <w:pPr>
      <w:tabs>
        <w:tab w:val="center" w:pos="4513"/>
        <w:tab w:val="right" w:pos="9026"/>
      </w:tabs>
    </w:pPr>
  </w:style>
  <w:style w:type="character" w:customStyle="1" w:styleId="HeaderChar">
    <w:name w:val="Header Char"/>
    <w:basedOn w:val="DefaultParagraphFont"/>
    <w:link w:val="Header"/>
    <w:uiPriority w:val="99"/>
    <w:semiHidden/>
    <w:rsid w:val="00EE3FE4"/>
    <w:rPr>
      <w:rFonts w:ascii="Trebuchet MS" w:eastAsiaTheme="minorHAnsi" w:hAnsi="Trebuchet MS" w:cstheme="minorBidi"/>
    </w:rPr>
  </w:style>
  <w:style w:type="paragraph" w:styleId="Footer">
    <w:name w:val="footer"/>
    <w:basedOn w:val="Normal"/>
    <w:link w:val="FooterChar"/>
    <w:uiPriority w:val="99"/>
    <w:semiHidden/>
    <w:unhideWhenUsed/>
    <w:rsid w:val="00EE3FE4"/>
    <w:pPr>
      <w:tabs>
        <w:tab w:val="center" w:pos="4513"/>
        <w:tab w:val="right" w:pos="9026"/>
      </w:tabs>
    </w:pPr>
  </w:style>
  <w:style w:type="character" w:customStyle="1" w:styleId="FooterChar">
    <w:name w:val="Footer Char"/>
    <w:basedOn w:val="DefaultParagraphFont"/>
    <w:link w:val="Footer"/>
    <w:uiPriority w:val="99"/>
    <w:semiHidden/>
    <w:rsid w:val="00EE3FE4"/>
    <w:rPr>
      <w:rFonts w:ascii="Trebuchet MS" w:eastAsiaTheme="minorHAnsi" w:hAnsi="Trebuchet MS" w:cstheme="minorBidi"/>
    </w:rPr>
  </w:style>
  <w:style w:type="character" w:customStyle="1" w:styleId="Heading2Char">
    <w:name w:val="Heading 2 Char"/>
    <w:basedOn w:val="DefaultParagraphFont"/>
    <w:link w:val="Heading2"/>
    <w:uiPriority w:val="9"/>
    <w:semiHidden/>
    <w:rsid w:val="00EE3FE4"/>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9923637/" TargetMode="External"/><Relationship Id="rId3" Type="http://schemas.openxmlformats.org/officeDocument/2006/relationships/webSettings" Target="webSettings.xml"/><Relationship Id="rId7" Type="http://schemas.openxmlformats.org/officeDocument/2006/relationships/hyperlink" Target="https://pubmed.ncbi.nlm.nih.gov/211719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2313606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3</cp:revision>
  <cp:lastPrinted>2023-04-24T14:17:00Z</cp:lastPrinted>
  <dcterms:created xsi:type="dcterms:W3CDTF">2023-04-24T13:51:00Z</dcterms:created>
  <dcterms:modified xsi:type="dcterms:W3CDTF">2023-04-24T14:17:00Z</dcterms:modified>
</cp:coreProperties>
</file>